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29" w:rsidRDefault="000F0D29" w:rsidP="000F0D29">
      <w:pPr>
        <w:pStyle w:val="Kopfzeile"/>
        <w:ind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Orientierungspapier für die Bewertung von Planung, Durchführung und Reflexion von Unterricht </w:t>
      </w:r>
    </w:p>
    <w:p w:rsidR="000F0D29" w:rsidRDefault="000F0D29" w:rsidP="000F0D29">
      <w:pPr>
        <w:jc w:val="both"/>
        <w:rPr>
          <w:rFonts w:ascii="Arial" w:hAnsi="Arial" w:cs="Arial"/>
          <w:i/>
          <w:sz w:val="22"/>
          <w:szCs w:val="22"/>
        </w:rPr>
      </w:pPr>
      <w:r w:rsidRPr="008550C4">
        <w:rPr>
          <w:rFonts w:ascii="Arial" w:hAnsi="Arial" w:cs="Arial"/>
          <w:i/>
          <w:sz w:val="22"/>
          <w:szCs w:val="22"/>
        </w:rPr>
        <w:t>Dieses Orientierungspapier dient der Kommunikation über Qualitätsmaßstäbe von Unterricht in Ausbildungsveranstaltungen, bei der Ausbildung</w:t>
      </w:r>
      <w:r w:rsidRPr="008550C4">
        <w:rPr>
          <w:rFonts w:ascii="Arial" w:hAnsi="Arial" w:cs="Arial"/>
          <w:i/>
          <w:sz w:val="22"/>
          <w:szCs w:val="22"/>
        </w:rPr>
        <w:t>s</w:t>
      </w:r>
      <w:r w:rsidRPr="008550C4">
        <w:rPr>
          <w:rFonts w:ascii="Arial" w:hAnsi="Arial" w:cs="Arial"/>
          <w:i/>
          <w:sz w:val="22"/>
          <w:szCs w:val="22"/>
        </w:rPr>
        <w:t>beratung, bei Gesprächen mit Mentorinnen und Mentoren und im Hinblick auf die Bewertung der Leistung entsprechend dem jeweiligen Ausbi</w:t>
      </w:r>
      <w:r w:rsidRPr="008550C4">
        <w:rPr>
          <w:rFonts w:ascii="Arial" w:hAnsi="Arial" w:cs="Arial"/>
          <w:i/>
          <w:sz w:val="22"/>
          <w:szCs w:val="22"/>
        </w:rPr>
        <w:t>l</w:t>
      </w:r>
      <w:r w:rsidRPr="008550C4">
        <w:rPr>
          <w:rFonts w:ascii="Arial" w:hAnsi="Arial" w:cs="Arial"/>
          <w:i/>
          <w:sz w:val="22"/>
          <w:szCs w:val="22"/>
        </w:rPr>
        <w:t>dungsstand. Es bildet darüber hinaus eine Strukturierungshilfe für die Nachbesprechung eines Unterrichtsbesuchs und kann Anregungen für die Unterrichtsplanung geben.</w:t>
      </w:r>
    </w:p>
    <w:p w:rsidR="000F0D29" w:rsidRDefault="000F0D29" w:rsidP="000F0D2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Es integriert die Kriterien des Hessischen Referenzrahmens, Qualitätsbereich VI: Lehren und Lernen, sowie die den Modulen zugrunde liegenden Kompetenzen und Standards der Lehrerbildung gemäß § 44  (2) </w:t>
      </w:r>
      <w:proofErr w:type="spellStart"/>
      <w:r>
        <w:rPr>
          <w:rFonts w:ascii="Arial" w:hAnsi="Arial" w:cs="Arial"/>
          <w:i/>
          <w:sz w:val="22"/>
          <w:szCs w:val="22"/>
        </w:rPr>
        <w:t>HLbGDV</w:t>
      </w:r>
      <w:proofErr w:type="spellEnd"/>
      <w:r>
        <w:rPr>
          <w:rFonts w:ascii="Arial" w:hAnsi="Arial" w:cs="Arial"/>
          <w:i/>
          <w:sz w:val="22"/>
          <w:szCs w:val="22"/>
        </w:rPr>
        <w:t>: Das Raster erhebt keinen Anspruch auf Vollständigkeit. Es form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>liert Grundvoraussetzungen im Sinne von Kompetenzen und Standards. Dabei ist klar, dass nicht alle Kompetenzen und Standards in einer Stu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 xml:space="preserve">de gleichermaßen sichtbar werden können. Ein Missbrauch als „Abhakliste“ mit Blick auf Bewertung ist zu vermeiden. Um der in §44. (6) </w:t>
      </w:r>
      <w:proofErr w:type="spellStart"/>
      <w:r>
        <w:rPr>
          <w:rFonts w:ascii="Arial" w:hAnsi="Arial" w:cs="Arial"/>
          <w:i/>
          <w:sz w:val="22"/>
          <w:szCs w:val="22"/>
        </w:rPr>
        <w:t>HLbGDV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geforderten Lernentwicklung Rechnung zu tragen, sind die Qualitätsbereiche 1-3 im Hauptsemester 1 und alle vier Qualitätsbereiche ab dem Hauptsemester 2 zugrunde zu legen.</w:t>
      </w:r>
    </w:p>
    <w:p w:rsidR="000F0D29" w:rsidRDefault="000F0D29" w:rsidP="000F0D2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4120"/>
        <w:gridCol w:w="4702"/>
        <w:gridCol w:w="3031"/>
      </w:tblGrid>
      <w:tr w:rsidR="000F0D29" w:rsidTr="0099010F">
        <w:trPr>
          <w:cantSplit/>
        </w:trPr>
        <w:tc>
          <w:tcPr>
            <w:tcW w:w="2727" w:type="dxa"/>
          </w:tcPr>
          <w:p w:rsidR="000F0D29" w:rsidRDefault="000F0D29" w:rsidP="0099010F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Qualitätsbereich nach dem Hessischen Ref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renzrahmen</w:t>
            </w:r>
          </w:p>
        </w:tc>
        <w:tc>
          <w:tcPr>
            <w:tcW w:w="4120" w:type="dxa"/>
          </w:tcPr>
          <w:p w:rsidR="000F0D29" w:rsidRDefault="000F0D29" w:rsidP="0099010F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Planung</w:t>
            </w:r>
          </w:p>
        </w:tc>
        <w:tc>
          <w:tcPr>
            <w:tcW w:w="4702" w:type="dxa"/>
          </w:tcPr>
          <w:p w:rsidR="000F0D29" w:rsidRDefault="000F0D29" w:rsidP="0099010F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Durchführung </w:t>
            </w:r>
          </w:p>
        </w:tc>
        <w:tc>
          <w:tcPr>
            <w:tcW w:w="3031" w:type="dxa"/>
            <w:vMerge w:val="restart"/>
          </w:tcPr>
          <w:p w:rsidR="000F0D29" w:rsidRDefault="000F0D29" w:rsidP="0099010F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Reflexion </w:t>
            </w:r>
          </w:p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</w:t>
            </w:r>
            <w:proofErr w:type="spellEnd"/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erkennt die zentralen Stä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ken und Schwächen der Planung und Durc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führung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stellt Bezüge zwischen Planung und Durchfü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rung her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Defizite analysieren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reflektiert den Lernpr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zess der Schülerinnen und Schüler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auf der Basis der Analyse Handlungsaltern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tiven entwickeln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Konsequenzen für die Weiterarbeit ziehen.</w:t>
            </w:r>
          </w:p>
          <w:p w:rsidR="000F0D29" w:rsidRDefault="000F0D29" w:rsidP="0099010F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0D29" w:rsidTr="0099010F">
        <w:trPr>
          <w:cantSplit/>
        </w:trPr>
        <w:tc>
          <w:tcPr>
            <w:tcW w:w="2727" w:type="dxa"/>
          </w:tcPr>
          <w:p w:rsidR="000F0D29" w:rsidRDefault="000F0D29" w:rsidP="000F0D29">
            <w:pPr>
              <w:pStyle w:val="FarbigeListe-Akzent11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Aufbau fachlicher und überfachlicher Ko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petenzen </w:t>
            </w:r>
          </w:p>
          <w:p w:rsidR="000F0D29" w:rsidRDefault="000F0D29" w:rsidP="0099010F">
            <w:pPr>
              <w:pStyle w:val="FarbigeListe-Akzent11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Kompetenzbereich</w:t>
            </w:r>
          </w:p>
          <w:p w:rsidR="000F0D29" w:rsidRDefault="000F0D29" w:rsidP="0099010F">
            <w:pPr>
              <w:pStyle w:val="FarbigeListe-Akzent11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331E0">
              <w:rPr>
                <w:rFonts w:ascii="Arial" w:hAnsi="Arial" w:cs="Arial"/>
                <w:b/>
                <w:bCs/>
                <w:sz w:val="20"/>
                <w:szCs w:val="20"/>
              </w:rPr>
              <w:t>Unterrichten</w:t>
            </w:r>
            <w:r w:rsidRPr="00A33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unter Einbeziehung von LLG, EBB)</w:t>
            </w:r>
          </w:p>
          <w:p w:rsidR="000F0D29" w:rsidRDefault="000F0D29" w:rsidP="0099010F">
            <w:pPr>
              <w:pStyle w:val="FarbigeListe-Akzent1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 1. Hauptsemester</w:t>
            </w:r>
          </w:p>
        </w:tc>
        <w:tc>
          <w:tcPr>
            <w:tcW w:w="4120" w:type="dxa"/>
          </w:tcPr>
          <w:p w:rsidR="000F0D29" w:rsidRDefault="000F0D29" w:rsidP="0099010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</w:t>
            </w:r>
            <w:proofErr w:type="spellEnd"/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ordnet das Stundenthema in einen übergreifenden Kontext ein</w:t>
            </w:r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begründet die Wahl des Stundenth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mas mit Bezug zum </w:t>
            </w:r>
            <w:r w:rsidRPr="00B6033D">
              <w:rPr>
                <w:rFonts w:ascii="Arial" w:hAnsi="Arial" w:cs="Arial"/>
                <w:sz w:val="20"/>
                <w:szCs w:val="20"/>
              </w:rPr>
              <w:t>Lehrplan bzw. Schulcurriculum und Kerncurriculum,</w:t>
            </w:r>
            <w:r>
              <w:rPr>
                <w:rFonts w:ascii="Arial" w:hAnsi="Arial" w:cs="Arial"/>
                <w:sz w:val="20"/>
                <w:szCs w:val="20"/>
              </w:rPr>
              <w:t xml:space="preserve"> zur Fachwissenschaft, zur Lebenswelt der Schüler/innen, zu deren Kompetenzentwicklung und zur Unterricht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einheit</w:t>
            </w:r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entwickelt eine didaktische Schwe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punktsetzung</w:t>
            </w:r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analysiert das eingesetzte Material hinsichtlich Lernchancen und Schwi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rigkeiten</w:t>
            </w:r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beschreibt die Ziele der Stunde unter Berücksichtigung fachspezifischer 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daktischer Prinzipien, mit Blick auf die Schwerpunktsetzung und in Bezug auf die Kompetenzentwicklung der Lerne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den</w:t>
            </w:r>
          </w:p>
          <w:p w:rsidR="000F0D29" w:rsidRPr="00FA54CF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antizipiert Schwierigkeiten und plant Lösungsmöglichkeiten ein.</w:t>
            </w:r>
          </w:p>
        </w:tc>
        <w:tc>
          <w:tcPr>
            <w:tcW w:w="4702" w:type="dxa"/>
          </w:tcPr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</w:t>
            </w:r>
            <w:proofErr w:type="spellEnd"/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eröffnet Schüler/innen Chancen zu probleml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sendem Denken</w:t>
            </w:r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bezieht die Schüler/innen in die Gesta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tung des Lernprozesses ein</w:t>
            </w:r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nimmt Schülerbeiträge auf und nutzt sie situ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tionsbezogen zur Steuerung des Lernproze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ses </w:t>
            </w:r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setzt Methoden und Medien sachang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messen und didaktisch funktional ein</w:t>
            </w:r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geht flexibel und situationsadäquat mit der Planung um</w:t>
            </w:r>
          </w:p>
          <w:p w:rsidR="000F0D29" w:rsidRDefault="000F0D29" w:rsidP="000F0D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achtet auf einen relevanten Lernzuwachs und die Entwicklung fachlicher und übe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fachlicher Kompetenzen.</w:t>
            </w:r>
          </w:p>
          <w:p w:rsidR="000F0D29" w:rsidRDefault="000F0D29" w:rsidP="009901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F0D29" w:rsidRDefault="000F0D29" w:rsidP="00990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29" w:rsidTr="0099010F">
        <w:trPr>
          <w:cantSplit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9" w:rsidRDefault="000F0D29" w:rsidP="000F0D29">
            <w:pPr>
              <w:pStyle w:val="FarbigeListe-Akzent11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Strukturiertheit und Transp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renz der Lehr- und Lernproze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  <w:p w:rsidR="000F0D29" w:rsidRDefault="000F0D29" w:rsidP="0099010F">
            <w:pPr>
              <w:pStyle w:val="FarbigeListe-Akzent11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(Kompetenzbereich </w:t>
            </w:r>
            <w:r w:rsidRPr="006A7202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unter Einbeziehung von LLG)</w:t>
            </w:r>
          </w:p>
          <w:p w:rsidR="000F0D29" w:rsidRDefault="000F0D29" w:rsidP="0099010F">
            <w:pPr>
              <w:pStyle w:val="FarbigeListe-Akzent11"/>
              <w:ind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6A7202">
              <w:rPr>
                <w:rFonts w:ascii="Arial" w:hAnsi="Arial" w:cs="Arial"/>
                <w:b/>
                <w:sz w:val="20"/>
                <w:szCs w:val="20"/>
              </w:rPr>
              <w:t xml:space="preserve">Ab </w:t>
            </w:r>
            <w:r w:rsidRPr="00CC7CA3">
              <w:rPr>
                <w:rFonts w:ascii="Arial" w:hAnsi="Arial" w:cs="Arial"/>
                <w:b/>
                <w:sz w:val="20"/>
                <w:szCs w:val="20"/>
              </w:rPr>
              <w:t>1. Hauptsemester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9" w:rsidRDefault="000F0D29" w:rsidP="0099010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</w:t>
            </w:r>
            <w:proofErr w:type="spellEnd"/>
          </w:p>
          <w:p w:rsidR="000F0D29" w:rsidRPr="00B6033D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033D">
              <w:rPr>
                <w:rFonts w:ascii="Arial" w:hAnsi="Arial" w:cs="Arial"/>
                <w:sz w:val="20"/>
                <w:szCs w:val="20"/>
              </w:rPr>
              <w:t>beschreibt die Heterogenität der Ler</w:t>
            </w:r>
            <w:r w:rsidRPr="00B6033D">
              <w:rPr>
                <w:rFonts w:ascii="Arial" w:hAnsi="Arial" w:cs="Arial"/>
                <w:sz w:val="20"/>
                <w:szCs w:val="20"/>
              </w:rPr>
              <w:t>n</w:t>
            </w:r>
            <w:r w:rsidRPr="00B6033D">
              <w:rPr>
                <w:rFonts w:ascii="Arial" w:hAnsi="Arial" w:cs="Arial"/>
                <w:sz w:val="20"/>
                <w:szCs w:val="20"/>
              </w:rPr>
              <w:t>gruppe und ihren Lernstand in Bezug auf ausgewählte Aspekte</w:t>
            </w:r>
          </w:p>
          <w:p w:rsidR="000F0D29" w:rsidRPr="00B6033D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033D">
              <w:rPr>
                <w:rFonts w:ascii="Arial" w:hAnsi="Arial" w:cs="Arial"/>
                <w:sz w:val="20"/>
                <w:szCs w:val="20"/>
              </w:rPr>
              <w:t>stellt eine begründete Passung der didaktisch-methodischen Entscheidu</w:t>
            </w:r>
            <w:r w:rsidRPr="00B6033D">
              <w:rPr>
                <w:rFonts w:ascii="Arial" w:hAnsi="Arial" w:cs="Arial"/>
                <w:sz w:val="20"/>
                <w:szCs w:val="20"/>
              </w:rPr>
              <w:t>n</w:t>
            </w:r>
            <w:r w:rsidRPr="00B6033D">
              <w:rPr>
                <w:rFonts w:ascii="Arial" w:hAnsi="Arial" w:cs="Arial"/>
                <w:sz w:val="20"/>
                <w:szCs w:val="20"/>
              </w:rPr>
              <w:t>gen her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eine begründete Abfolge von Lernschritten („Roter Faden“)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berücksichtigt eine Lernprogression und plant eine Ergebnissicherung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begründet die Wahl von Material, 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thoden und Medien im Hinblick auf ihre Funktionalität. </w:t>
            </w:r>
          </w:p>
          <w:p w:rsidR="000F0D29" w:rsidRDefault="000F0D29" w:rsidP="00990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</w:t>
            </w:r>
            <w:proofErr w:type="spellEnd"/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macht den Unterrichtsverlauf und die Zielse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zung der Stunde für Schülerinnen und Schüler transparent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sichert und strukturiert die Lernergebni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se gemeinsam mit der Lerngruppe (z. B. Disku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sion, Anwendung, Transfer)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fördert das Methodenbewusstsein und die Methoden- und Medienkompetenz der Schül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rinnen und Schüler</w:t>
            </w:r>
          </w:p>
          <w:p w:rsidR="000F0D29" w:rsidRDefault="000F0D29" w:rsidP="00990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29" w:rsidTr="0099010F">
        <w:trPr>
          <w:cantSplit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9" w:rsidRPr="00C853A3" w:rsidRDefault="000F0D29" w:rsidP="000F0D29">
            <w:pPr>
              <w:pStyle w:val="FarbigeListe-Akzent11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Förderliches Lernkl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C853A3">
              <w:rPr>
                <w:rFonts w:ascii="Arial" w:hAnsi="Arial" w:cs="Arial"/>
                <w:b/>
                <w:sz w:val="20"/>
                <w:szCs w:val="20"/>
              </w:rPr>
              <w:t xml:space="preserve"> (Kompetenzbereich EBB)</w:t>
            </w:r>
          </w:p>
          <w:p w:rsidR="000F0D29" w:rsidRDefault="000F0D29" w:rsidP="0099010F">
            <w:pPr>
              <w:pStyle w:val="FarbigeListe-Akzent11"/>
              <w:ind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6A7202">
              <w:rPr>
                <w:rFonts w:ascii="Arial" w:hAnsi="Arial" w:cs="Arial"/>
                <w:b/>
                <w:sz w:val="20"/>
                <w:szCs w:val="20"/>
              </w:rPr>
              <w:t>Ab 1. Hauptsemester</w:t>
            </w:r>
          </w:p>
          <w:p w:rsidR="000F0D29" w:rsidRDefault="000F0D29" w:rsidP="0099010F">
            <w:pPr>
              <w:pStyle w:val="FarbigeListe-Akzent11"/>
              <w:ind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9" w:rsidRPr="008550C4" w:rsidRDefault="000F0D29" w:rsidP="0099010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8550C4">
              <w:rPr>
                <w:rFonts w:ascii="Arial" w:hAnsi="Arial" w:cs="Arial"/>
                <w:sz w:val="20"/>
                <w:szCs w:val="20"/>
              </w:rPr>
              <w:t>LiV</w:t>
            </w:r>
            <w:proofErr w:type="spellEnd"/>
          </w:p>
          <w:p w:rsidR="000F0D29" w:rsidRPr="008550C4" w:rsidRDefault="000F0D29" w:rsidP="000F0D2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>plant Maßnahmen zur Gestaltung einer angemessenen Lerna</w:t>
            </w:r>
            <w:r w:rsidRPr="008550C4">
              <w:rPr>
                <w:rFonts w:ascii="Arial" w:hAnsi="Arial" w:cs="Arial"/>
                <w:sz w:val="20"/>
                <w:szCs w:val="20"/>
              </w:rPr>
              <w:t>t</w:t>
            </w:r>
            <w:r w:rsidRPr="008550C4">
              <w:rPr>
                <w:rFonts w:ascii="Arial" w:hAnsi="Arial" w:cs="Arial"/>
                <w:sz w:val="20"/>
                <w:szCs w:val="20"/>
              </w:rPr>
              <w:t>mosphäre</w:t>
            </w:r>
          </w:p>
          <w:p w:rsidR="000F0D29" w:rsidRPr="008550C4" w:rsidRDefault="000F0D29" w:rsidP="000F0D2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>begründet die eigene Rolle und die der Schülerinnen und Schüler innerhalb des Lernarrangements.</w:t>
            </w:r>
          </w:p>
          <w:p w:rsidR="000F0D29" w:rsidRPr="008550C4" w:rsidRDefault="000F0D29" w:rsidP="000F0D2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>berücksichtigt den Stand und die Entwicklung überfachlicher Komp</w:t>
            </w:r>
            <w:r w:rsidRPr="008550C4">
              <w:rPr>
                <w:rFonts w:ascii="Arial" w:hAnsi="Arial" w:cs="Arial"/>
                <w:sz w:val="20"/>
                <w:szCs w:val="20"/>
              </w:rPr>
              <w:t>e</w:t>
            </w:r>
            <w:r w:rsidRPr="008550C4">
              <w:rPr>
                <w:rFonts w:ascii="Arial" w:hAnsi="Arial" w:cs="Arial"/>
                <w:sz w:val="20"/>
                <w:szCs w:val="20"/>
              </w:rPr>
              <w:t>tenzen</w:t>
            </w:r>
          </w:p>
          <w:p w:rsidR="000F0D29" w:rsidRPr="008550C4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>antizipiert ggf. Beratungs-/Konfliktsituationen</w:t>
            </w:r>
          </w:p>
          <w:p w:rsidR="000F0D29" w:rsidRPr="008550C4" w:rsidRDefault="000F0D29" w:rsidP="0099010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9" w:rsidRPr="008550C4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8550C4">
              <w:rPr>
                <w:rFonts w:ascii="Arial" w:hAnsi="Arial" w:cs="Arial"/>
                <w:sz w:val="20"/>
                <w:szCs w:val="20"/>
              </w:rPr>
              <w:t>LiV</w:t>
            </w:r>
            <w:proofErr w:type="spellEnd"/>
          </w:p>
          <w:p w:rsidR="000F0D29" w:rsidRPr="008550C4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>schafft eine angemessene Lerna</w:t>
            </w:r>
            <w:r w:rsidRPr="008550C4">
              <w:rPr>
                <w:rFonts w:ascii="Arial" w:hAnsi="Arial" w:cs="Arial"/>
                <w:sz w:val="20"/>
                <w:szCs w:val="20"/>
              </w:rPr>
              <w:t>t</w:t>
            </w:r>
            <w:r w:rsidRPr="008550C4">
              <w:rPr>
                <w:rFonts w:ascii="Arial" w:hAnsi="Arial" w:cs="Arial"/>
                <w:sz w:val="20"/>
                <w:szCs w:val="20"/>
              </w:rPr>
              <w:t>mosphäre</w:t>
            </w:r>
          </w:p>
          <w:p w:rsidR="000F0D29" w:rsidRPr="008550C4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0D29" w:rsidRPr="008550C4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>aktiviert die Lernenden und fördert deren I</w:t>
            </w:r>
            <w:r w:rsidRPr="008550C4">
              <w:rPr>
                <w:rFonts w:ascii="Arial" w:hAnsi="Arial" w:cs="Arial"/>
                <w:sz w:val="20"/>
                <w:szCs w:val="20"/>
              </w:rPr>
              <w:t>n</w:t>
            </w:r>
            <w:r w:rsidRPr="008550C4">
              <w:rPr>
                <w:rFonts w:ascii="Arial" w:hAnsi="Arial" w:cs="Arial"/>
                <w:sz w:val="20"/>
                <w:szCs w:val="20"/>
              </w:rPr>
              <w:t>teraktion.</w:t>
            </w:r>
          </w:p>
          <w:p w:rsidR="000F0D29" w:rsidRPr="008550C4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0D29" w:rsidRPr="008550C4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>fördert die Selbstkompetenz, Sozialko</w:t>
            </w:r>
            <w:r w:rsidRPr="008550C4">
              <w:rPr>
                <w:rFonts w:ascii="Arial" w:hAnsi="Arial" w:cs="Arial"/>
                <w:sz w:val="20"/>
                <w:szCs w:val="20"/>
              </w:rPr>
              <w:t>m</w:t>
            </w:r>
            <w:r w:rsidRPr="008550C4">
              <w:rPr>
                <w:rFonts w:ascii="Arial" w:hAnsi="Arial" w:cs="Arial"/>
                <w:sz w:val="20"/>
                <w:szCs w:val="20"/>
              </w:rPr>
              <w:t>petenz  und Lernkompetenz der Schülerinnen und Schüler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50C4">
              <w:rPr>
                <w:rFonts w:ascii="Arial" w:hAnsi="Arial" w:cs="Arial"/>
                <w:sz w:val="20"/>
                <w:szCs w:val="20"/>
              </w:rPr>
              <w:t>reagiert bei auftretenden Verhaltensschwieri</w:t>
            </w:r>
            <w:r w:rsidRPr="008550C4">
              <w:rPr>
                <w:rFonts w:ascii="Arial" w:hAnsi="Arial" w:cs="Arial"/>
                <w:sz w:val="20"/>
                <w:szCs w:val="20"/>
              </w:rPr>
              <w:t>g</w:t>
            </w:r>
            <w:r w:rsidRPr="008550C4">
              <w:rPr>
                <w:rFonts w:ascii="Arial" w:hAnsi="Arial" w:cs="Arial"/>
                <w:sz w:val="20"/>
                <w:szCs w:val="20"/>
              </w:rPr>
              <w:t>keiten</w:t>
            </w:r>
          </w:p>
          <w:p w:rsidR="000F0D29" w:rsidRPr="008550C4" w:rsidRDefault="000F0D29" w:rsidP="00990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29" w:rsidTr="0099010F">
        <w:trPr>
          <w:cantSplit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9" w:rsidRPr="00B6033D" w:rsidRDefault="000F0D29" w:rsidP="000F0D29">
            <w:pPr>
              <w:pStyle w:val="FarbigeListe-Akzent11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033D">
              <w:rPr>
                <w:rFonts w:ascii="Arial" w:hAnsi="Arial" w:cs="Arial"/>
                <w:b/>
                <w:sz w:val="20"/>
                <w:szCs w:val="20"/>
              </w:rPr>
              <w:lastRenderedPageBreak/>
              <w:t>Umgang mit heter</w:t>
            </w:r>
            <w:r w:rsidRPr="00B6033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6033D">
              <w:rPr>
                <w:rFonts w:ascii="Arial" w:hAnsi="Arial" w:cs="Arial"/>
                <w:b/>
                <w:sz w:val="20"/>
                <w:szCs w:val="20"/>
              </w:rPr>
              <w:t>genen Lernvorausse</w:t>
            </w:r>
            <w:r w:rsidRPr="00B6033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6033D">
              <w:rPr>
                <w:rFonts w:ascii="Arial" w:hAnsi="Arial" w:cs="Arial"/>
                <w:b/>
                <w:sz w:val="20"/>
                <w:szCs w:val="20"/>
              </w:rPr>
              <w:t>zungen</w:t>
            </w:r>
          </w:p>
          <w:p w:rsidR="000F0D29" w:rsidRPr="00B6033D" w:rsidRDefault="000F0D29" w:rsidP="0099010F">
            <w:pPr>
              <w:pStyle w:val="FarbigeListe-Akzent11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B6033D">
              <w:rPr>
                <w:rFonts w:ascii="Arial" w:hAnsi="Arial" w:cs="Arial"/>
                <w:b/>
                <w:sz w:val="20"/>
                <w:szCs w:val="20"/>
              </w:rPr>
              <w:t>(Kompetenzbereich DFB; Unterric</w:t>
            </w:r>
            <w:r w:rsidRPr="00B6033D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ten</w:t>
            </w:r>
            <w:r w:rsidRPr="00B6033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F0D29" w:rsidRPr="006A7202" w:rsidRDefault="000F0D29" w:rsidP="0099010F">
            <w:pPr>
              <w:pStyle w:val="FarbigeListe-Akzent11"/>
              <w:ind w:left="75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6033D">
              <w:rPr>
                <w:rFonts w:ascii="Arial" w:hAnsi="Arial" w:cs="Arial"/>
                <w:b/>
                <w:sz w:val="20"/>
                <w:szCs w:val="20"/>
              </w:rPr>
              <w:t>Ab 2. Hauptsemester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9" w:rsidRDefault="000F0D29" w:rsidP="0099010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</w:t>
            </w:r>
            <w:proofErr w:type="spellEnd"/>
          </w:p>
          <w:p w:rsidR="000F0D29" w:rsidRDefault="000F0D29" w:rsidP="000F0D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nutzt fachspezifische Diagnosefo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men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beschreibt Lernvoraussetzungen der Schülerinnen und Schüler für die Stu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 (z. B. Interessen, Lesekompetenz, intellektuelles Niveau, Gender, interkulturelle Vorausse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zungen…)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baut die Planung der Stunde auf den Lernvoraussetzungen auf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wählt Methoden und Medien im 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gleich mit der didaktischen Analyse, den Lernvoraussetzungen der Schül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rinnen und Schüler sowie den Zielen der Stunde aus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verknüpft notwendige Fördermaßna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men mit den fachlichen Zielen.</w:t>
            </w:r>
          </w:p>
          <w:p w:rsidR="000F0D29" w:rsidRDefault="000F0D29" w:rsidP="00990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</w:t>
            </w:r>
            <w:proofErr w:type="spellEnd"/>
          </w:p>
          <w:p w:rsidR="000F0D29" w:rsidRPr="00B6033D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033D">
              <w:rPr>
                <w:rFonts w:ascii="Arial" w:hAnsi="Arial" w:cs="Arial"/>
                <w:sz w:val="20"/>
                <w:szCs w:val="20"/>
              </w:rPr>
              <w:t>richtet ihr Lehrerhandeln auf die unterschiedl</w:t>
            </w:r>
            <w:r w:rsidRPr="00B6033D">
              <w:rPr>
                <w:rFonts w:ascii="Arial" w:hAnsi="Arial" w:cs="Arial"/>
                <w:sz w:val="20"/>
                <w:szCs w:val="20"/>
              </w:rPr>
              <w:t>i</w:t>
            </w:r>
            <w:r w:rsidRPr="00B6033D">
              <w:rPr>
                <w:rFonts w:ascii="Arial" w:hAnsi="Arial" w:cs="Arial"/>
                <w:sz w:val="20"/>
                <w:szCs w:val="20"/>
              </w:rPr>
              <w:t xml:space="preserve">chen Lernvoraussetzungen aus </w:t>
            </w:r>
          </w:p>
          <w:p w:rsidR="000F0D29" w:rsidRPr="00B6033D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033D">
              <w:rPr>
                <w:rFonts w:ascii="Arial" w:hAnsi="Arial" w:cs="Arial"/>
                <w:sz w:val="20"/>
                <w:szCs w:val="20"/>
              </w:rPr>
              <w:t>fördert individualisiertes Lernen durch differenzierte Ler</w:t>
            </w:r>
            <w:r w:rsidRPr="00B6033D">
              <w:rPr>
                <w:rFonts w:ascii="Arial" w:hAnsi="Arial" w:cs="Arial"/>
                <w:sz w:val="20"/>
                <w:szCs w:val="20"/>
              </w:rPr>
              <w:t>n</w:t>
            </w:r>
            <w:r w:rsidRPr="00B6033D">
              <w:rPr>
                <w:rFonts w:ascii="Arial" w:hAnsi="Arial" w:cs="Arial"/>
                <w:sz w:val="20"/>
                <w:szCs w:val="20"/>
              </w:rPr>
              <w:t>angebote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reagiert adäquat bei auftretenden Lernschwi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rigkeiten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integriert Fördermaßnahmen in den 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terricht</w:t>
            </w:r>
          </w:p>
          <w:p w:rsidR="000F0D29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fördert Eigen- und Selbständigkeit der Schül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rinnen und Schüler</w:t>
            </w:r>
          </w:p>
          <w:p w:rsidR="000F0D29" w:rsidRPr="00C853A3" w:rsidRDefault="000F0D29" w:rsidP="000F0D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reflektiert gemeinsam mit den Schüleri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nen und Schülern die Lernprozesse und meldet Leistung in förderlicher Weise 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rück.</w:t>
            </w:r>
          </w:p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bottom w:val="single" w:sz="4" w:space="0" w:color="auto"/>
            </w:tcBorders>
          </w:tcPr>
          <w:p w:rsidR="000F0D29" w:rsidRDefault="000F0D29" w:rsidP="009901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D29" w:rsidRDefault="000F0D29" w:rsidP="000F0D29"/>
    <w:p w:rsidR="0045367E" w:rsidRDefault="000F0D29">
      <w:bookmarkStart w:id="0" w:name="_GoBack"/>
      <w:bookmarkEnd w:id="0"/>
    </w:p>
    <w:sectPr w:rsidR="0045367E" w:rsidSect="000F0D29">
      <w:pgSz w:w="16838" w:h="11906" w:orient="landscape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795"/>
    <w:multiLevelType w:val="hybridMultilevel"/>
    <w:tmpl w:val="9F6A1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F1308"/>
    <w:multiLevelType w:val="hybridMultilevel"/>
    <w:tmpl w:val="B7B66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567E1"/>
    <w:multiLevelType w:val="hybridMultilevel"/>
    <w:tmpl w:val="41EED9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5F3815"/>
    <w:multiLevelType w:val="hybridMultilevel"/>
    <w:tmpl w:val="9D24FE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F1F7A"/>
    <w:multiLevelType w:val="hybridMultilevel"/>
    <w:tmpl w:val="951E29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25D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29"/>
    <w:rsid w:val="000F0D29"/>
    <w:rsid w:val="004E052F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rsid w:val="000F0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0D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99"/>
    <w:qFormat/>
    <w:rsid w:val="000F0D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rsid w:val="000F0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0D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99"/>
    <w:qFormat/>
    <w:rsid w:val="000F0D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1B478CD0.dotm</Template>
  <TotalTime>0</TotalTime>
  <Pages>3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Koffke, Yvonne (AFL WI)</dc:creator>
  <cp:lastModifiedBy>Koffke, Yvonne (AFL WI)</cp:lastModifiedBy>
  <cp:revision>1</cp:revision>
  <dcterms:created xsi:type="dcterms:W3CDTF">2016-08-11T09:04:00Z</dcterms:created>
  <dcterms:modified xsi:type="dcterms:W3CDTF">2016-08-11T09:06:00Z</dcterms:modified>
</cp:coreProperties>
</file>